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3" name="Рисунок 3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spacing w:after="120" w:line="276" w:lineRule="auto"/>
        <w:ind w:firstLine="0"/>
        <w:jc w:val="right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/>
        <w:jc w:val="center"/>
        <w:rPr>
          <w:b/>
          <w:sz w:val="20"/>
          <w:szCs w:val="20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ОСНОВНАЯ ЧАСТЬ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ПЛАНИРОВКИ ТЕРРИТОРИИ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1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/2022-ППТ-ОЧ</w:t>
      </w: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gjdgxs" w:colFirst="0" w:colLast="0"/>
      <w:bookmarkEnd w:id="0"/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color w:val="000000"/>
          <w:sz w:val="20"/>
          <w:szCs w:val="20"/>
        </w:rPr>
      </w:pPr>
      <w:r>
        <w:rPr>
          <w:rFonts w:eastAsia="Calibri"/>
          <w:sz w:val="24"/>
          <w:szCs w:val="24"/>
        </w:rPr>
        <w:t>2023 г.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jc w:val="center"/>
        <w:rPr>
          <w:color w:val="000000"/>
          <w:sz w:val="20"/>
          <w:szCs w:val="20"/>
        </w:rPr>
        <w:sectPr>
          <w:footerReference r:id="rId5" w:type="default"/>
          <w:pgSz w:w="11906" w:h="16838"/>
          <w:pgMar w:top="1134" w:right="851" w:bottom="1134" w:left="1701" w:header="709" w:footer="709" w:gutter="0"/>
          <w:cols w:space="720" w:num="1"/>
          <w:titlePg/>
          <w:docGrid w:linePitch="381" w:charSpace="0"/>
        </w:sectPr>
      </w:pPr>
    </w:p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2" name="Рисунок 2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pStyle w:val="12"/>
        <w:jc w:val="righ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Заказчик: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Администрация муниципального образования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«Городской округ Ногликский»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Муниципальный контракт: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ОСиА-04-08/22 </w:t>
      </w:r>
    </w:p>
    <w:p>
      <w:pPr>
        <w:ind w:firstLine="0"/>
        <w:jc w:val="right"/>
        <w:rPr>
          <w:b/>
          <w:sz w:val="36"/>
          <w:szCs w:val="36"/>
        </w:rPr>
      </w:pPr>
      <w:r>
        <w:rPr>
          <w:sz w:val="22"/>
        </w:rPr>
        <w:t>от 21.09.2022г.</w:t>
      </w:r>
    </w:p>
    <w:p>
      <w:pPr>
        <w:ind w:firstLine="0"/>
        <w:jc w:val="right"/>
        <w:rPr>
          <w:b/>
          <w:sz w:val="36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 xml:space="preserve">ОСНОВНАЯ ЧАСТЬ </w:t>
      </w: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ПЛАНИРОВКИ ТЕРРИТОРИИ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1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/2022-ППТ-ОЧ</w:t>
      </w: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7"/>
        <w:gridCol w:w="4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927" w:type="dxa"/>
            <w:shd w:val="clear" w:color="auto" w:fill="auto"/>
          </w:tcPr>
          <w:p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Генеральный директор</w:t>
            </w:r>
          </w:p>
        </w:tc>
        <w:tc>
          <w:tcPr>
            <w:tcW w:w="4927" w:type="dxa"/>
            <w:shd w:val="clear" w:color="auto" w:fill="auto"/>
          </w:tcPr>
          <w:p>
            <w:pPr>
              <w:ind w:firstLine="0"/>
              <w:jc w:val="right"/>
              <w:rPr>
                <w:rFonts w:hint="default" w:eastAsia="Calibri"/>
                <w:lang w:val="ru-RU"/>
              </w:rPr>
            </w:pPr>
            <w:r>
              <w:rPr>
                <w:rFonts w:eastAsia="Calibri"/>
              </w:rPr>
              <w:t xml:space="preserve">         </w:t>
            </w:r>
            <w:r>
              <w:rPr>
                <w:rFonts w:eastAsia="Calibri"/>
                <w:lang w:val="ru-RU"/>
              </w:rPr>
              <w:t>К</w:t>
            </w:r>
            <w:r>
              <w:rPr>
                <w:rFonts w:eastAsia="Calibri"/>
              </w:rPr>
              <w:t>.</w:t>
            </w:r>
            <w:r>
              <w:rPr>
                <w:rFonts w:eastAsia="Calibri"/>
                <w:lang w:val="ru-RU"/>
              </w:rPr>
              <w:t>И</w:t>
            </w:r>
            <w:r>
              <w:rPr>
                <w:rFonts w:eastAsia="Calibri"/>
              </w:rPr>
              <w:t>. К</w:t>
            </w:r>
            <w:r>
              <w:rPr>
                <w:rFonts w:eastAsia="Calibri"/>
                <w:lang w:val="ru-RU"/>
              </w:rPr>
              <w:t>рашенинников</w:t>
            </w:r>
            <w:bookmarkStart w:id="12" w:name="_GoBack"/>
            <w:bookmarkEnd w:id="12"/>
          </w:p>
        </w:tc>
      </w:tr>
    </w:tbl>
    <w:p>
      <w:pPr>
        <w:ind w:firstLine="0"/>
      </w:pPr>
    </w:p>
    <w:p>
      <w:pPr>
        <w:ind w:firstLine="0"/>
        <w:rPr>
          <w:sz w:val="36"/>
          <w:szCs w:val="36"/>
        </w:rPr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eastAsia="Calibri"/>
          <w:sz w:val="24"/>
          <w:szCs w:val="24"/>
        </w:rPr>
        <w:t>2023 г.</w:t>
      </w:r>
    </w:p>
    <w:p>
      <w:pPr>
        <w:ind w:firstLine="0"/>
        <w:jc w:val="center"/>
        <w:rPr>
          <w:b/>
          <w:sz w:val="20"/>
        </w:rPr>
      </w:pPr>
      <w:bookmarkStart w:id="1" w:name="_Toc99619084"/>
      <w:bookmarkStart w:id="2" w:name="_Toc131170270"/>
      <w:r>
        <w:rPr>
          <w:b/>
          <w:sz w:val="20"/>
        </w:rPr>
        <w:t>СОСТАВ ДОКУМЕНТАЦИИ ПО ПЛАНИРОВКЕ ТЕРРИТОРИИ</w:t>
      </w:r>
      <w:bookmarkEnd w:id="1"/>
      <w:bookmarkEnd w:id="2"/>
    </w:p>
    <w:p>
      <w:pPr>
        <w:ind w:firstLine="0"/>
        <w:jc w:val="center"/>
        <w:rPr>
          <w:rFonts w:eastAsia="Calibri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6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shd w:val="clear" w:color="auto" w:fill="F2F2F2"/>
            <w:vAlign w:val="center"/>
          </w:tcPr>
          <w:p>
            <w:pPr>
              <w:tabs>
                <w:tab w:val="left" w:pos="-4820"/>
              </w:tabs>
              <w:ind w:left="-131" w:right="-22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561" w:type="pct"/>
            <w:shd w:val="clear" w:color="auto" w:fill="F2F2F2"/>
            <w:vAlign w:val="center"/>
          </w:tcPr>
          <w:p>
            <w:pPr>
              <w:ind w:right="34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/2022-ППТ-ОЧ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1.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Основная часть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–ППТ-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2.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Материалы по обоснованию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–ПМТ-О</w:t>
            </w:r>
            <w:r>
              <w:rPr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3.</w:t>
            </w:r>
            <w:r>
              <w:rPr>
                <w:sz w:val="24"/>
                <w:szCs w:val="24"/>
                <w:lang w:eastAsia="ru-RU"/>
              </w:rPr>
              <w:t xml:space="preserve">  Основная часть проекта межевания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-ПМТ-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4.</w:t>
            </w:r>
            <w:r>
              <w:rPr>
                <w:bCs/>
                <w:sz w:val="24"/>
                <w:szCs w:val="24"/>
                <w:lang w:eastAsia="ru-RU"/>
              </w:rPr>
              <w:t xml:space="preserve">  Материалы по обоснованию проекта межевания территории</w:t>
            </w:r>
          </w:p>
        </w:tc>
      </w:tr>
    </w:tbl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СОДЕРЖАНИЕ ТОМА</w:t>
      </w:r>
    </w:p>
    <w:sdt>
      <w:sdtPr>
        <w:rPr>
          <w:rFonts w:ascii="Times New Roman" w:hAnsi="Times New Roman" w:eastAsia="Times New Roman" w:cs="Times New Roman"/>
          <w:sz w:val="28"/>
        </w:rPr>
        <w:id w:val="183056370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b/>
          <w:bCs/>
          <w:sz w:val="28"/>
        </w:rPr>
      </w:sdtEndPr>
      <w:sdtContent>
        <w:p>
          <w:pPr>
            <w:pStyle w:val="7"/>
            <w:tabs>
              <w:tab w:val="left" w:pos="440"/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"_Toc141885019"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</w:rPr>
            <w:t>1.</w:t>
          </w:r>
          <w:r>
            <w:rPr>
              <w:rFonts w:ascii="Times New Roman" w:hAnsi="Times New Roman" w:cs="Times New Roman"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eastAsia="Calibri" w:cs="Times New Roman"/>
            </w:rPr>
            <w:t>Чертеж планировки территории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_Toc141885019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5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"_Toc141885020"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</w:rPr>
            <w:t>2. Положение о характеристиках планируемого развития территории,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объектов, и обеспечения жизнедеятельности граждан объектов коммунальной, транспортной, социальной инфраструктур.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_Toc141885020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6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pPr>
            <w:pStyle w:val="7"/>
            <w:tabs>
              <w:tab w:val="left" w:pos="660"/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"_Toc141885021"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</w:rPr>
            <w:t>2.1.</w:t>
          </w:r>
          <w:r>
            <w:rPr>
              <w:rFonts w:ascii="Times New Roman" w:hAnsi="Times New Roman" w:cs="Times New Roman"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eastAsia="Calibri" w:cs="Times New Roman"/>
            </w:rPr>
            <w:t>Характеристика планируемого развития приведены в таблице 1.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_Toc141885021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6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pPr>
            <w:pStyle w:val="7"/>
            <w:tabs>
              <w:tab w:val="left" w:pos="660"/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"_Toc141885022"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2.2.</w:t>
          </w:r>
          <w:r>
            <w:rPr>
              <w:rFonts w:ascii="Times New Roman" w:hAnsi="Times New Roman" w:cs="Times New Roman"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cs="Times New Roman"/>
            </w:rPr>
            <w:t>Характеристика объектов социального обслуживания.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_Toc141885022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10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pPr>
            <w:pStyle w:val="7"/>
            <w:tabs>
              <w:tab w:val="left" w:pos="440"/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"_Toc141885023"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3.</w:t>
          </w:r>
          <w:r>
            <w:rPr>
              <w:rFonts w:ascii="Times New Roman" w:hAnsi="Times New Roman" w:cs="Times New Roman"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cs="Times New Roman"/>
            </w:rPr>
            <w:t>Положения об очередности планируемого развития территории.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_Toc141885023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11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"_Toc141885024"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4. Перечень координат характерных точек устанавливаемых красных линий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_Toc141885024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11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r>
            <w:rPr>
              <w:sz w:val="24"/>
              <w:szCs w:val="24"/>
            </w:rPr>
            <w:fldChar w:fldCharType="end"/>
          </w:r>
        </w:p>
      </w:sdtContent>
    </w:sdt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pStyle w:val="2"/>
        <w:numPr>
          <w:ilvl w:val="0"/>
          <w:numId w:val="1"/>
        </w:numPr>
        <w:ind w:left="0" w:firstLine="0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bookmarkStart w:id="3" w:name="_Toc141885019"/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>ЧЕРТЕЖ ПЛАНИРОВКИ ТЕРРИТОРИИ</w:t>
      </w:r>
      <w:bookmarkEnd w:id="3"/>
    </w:p>
    <w:p>
      <w:pPr>
        <w:spacing w:line="276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276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3"/>
        <w:ind w:left="0" w:leftChars="0" w:firstLine="0" w:firstLineChars="0"/>
        <w:rPr>
          <w:rFonts w:hint="default" w:eastAsia="Calibri"/>
          <w:sz w:val="24"/>
          <w:szCs w:val="24"/>
          <w:lang w:val="ru-RU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hint="default" w:eastAsia="Calibri"/>
          <w:sz w:val="24"/>
          <w:szCs w:val="24"/>
          <w:lang w:val="ru-RU"/>
        </w:rPr>
        <w:drawing>
          <wp:inline distT="0" distB="0" distL="114300" distR="114300">
            <wp:extent cx="5886450" cy="3924935"/>
            <wp:effectExtent l="0" t="0" r="11430" b="6985"/>
            <wp:docPr id="5" name="Изображение 5" descr="_ППМ кв.15 Ноглики2-ППТ_ОЧ_осн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_ППМ кв.15 Ноглики2-ППТ_ОЧ_осн_page-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92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firstLine="0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bookmarkStart w:id="4" w:name="_Toc141885020"/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>2. Положение о характеристиках планируемого развития территории,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объектов, и обеспечения жизнедеятельности граждан объектов коммунальной, транспортной, социальной инфраструктур.</w:t>
      </w:r>
      <w:bookmarkEnd w:id="4"/>
    </w:p>
    <w:p>
      <w:pPr>
        <w:pStyle w:val="13"/>
        <w:ind w:left="0" w:firstLine="0"/>
        <w:rPr>
          <w:rFonts w:eastAsia="Calibri"/>
          <w:sz w:val="24"/>
          <w:szCs w:val="24"/>
        </w:rPr>
      </w:pPr>
    </w:p>
    <w:p>
      <w:pPr>
        <w:spacing w:line="276" w:lineRule="auto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Проект планировки территории разрабатывается в пределах планировочного микрорайона № 15 пгт. Ноглики муниципального об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разования «Городской округ Ногликский». Площадь территории планировки составляет </w:t>
      </w:r>
      <w:r>
        <w:rPr>
          <w:rFonts w:hint="default"/>
          <w:color w:val="000000" w:themeColor="text1"/>
          <w:sz w:val="24"/>
          <w:szCs w:val="24"/>
          <w:highlight w:val="none"/>
          <w:lang w:val="ru-RU"/>
          <w14:textFill>
            <w14:solidFill>
              <w14:schemeClr w14:val="tx1"/>
            </w14:solidFill>
          </w14:textFill>
        </w:rPr>
        <w:t>64,41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га.</w:t>
      </w:r>
    </w:p>
    <w:p>
      <w:pPr>
        <w:spacing w:line="276" w:lineRule="auto"/>
        <w:rPr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Рассматриваемая территория находится в южной части поселка, по функции является периферийным районом жилой застройки, связанным с центром пгт. федеральной трассой «Южно-Сахалинск — Оха».</w:t>
      </w:r>
    </w:p>
    <w:p>
      <w:pPr>
        <w:pStyle w:val="2"/>
        <w:ind w:firstLine="0"/>
        <w:rPr>
          <w:rFonts w:ascii="Times New Roman" w:hAnsi="Times New Roman" w:eastAsia="Calibri" w:cs="Times New Roman"/>
          <w:color w:val="auto"/>
          <w:sz w:val="24"/>
          <w:szCs w:val="24"/>
        </w:rPr>
      </w:pPr>
      <w:bookmarkStart w:id="5" w:name="_Toc141885021"/>
      <w:r>
        <w:rPr>
          <w:rFonts w:ascii="Times New Roman" w:hAnsi="Times New Roman" w:eastAsia="Calibri" w:cs="Times New Roman"/>
          <w:color w:val="auto"/>
          <w:sz w:val="24"/>
          <w:szCs w:val="24"/>
        </w:rPr>
        <w:t>2.1.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Характеристика планируемого развития приведены в таблице 1.</w:t>
      </w:r>
      <w:bookmarkEnd w:id="5"/>
    </w:p>
    <w:p>
      <w:pPr>
        <w:jc w:val="right"/>
        <w:rPr>
          <w:rFonts w:eastAsia="Calibri"/>
        </w:rPr>
      </w:pPr>
      <w:r>
        <w:rPr>
          <w:rFonts w:eastAsia="Calibri"/>
          <w:sz w:val="24"/>
          <w:szCs w:val="24"/>
        </w:rPr>
        <w:t>Таблица 1</w:t>
      </w:r>
    </w:p>
    <w:tbl>
      <w:tblPr>
        <w:tblStyle w:val="4"/>
        <w:tblW w:w="5001" w:type="pct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771"/>
        <w:gridCol w:w="7"/>
        <w:gridCol w:w="1271"/>
        <w:gridCol w:w="1005"/>
        <w:gridCol w:w="4"/>
        <w:gridCol w:w="1870"/>
        <w:gridCol w:w="5"/>
        <w:gridCol w:w="716"/>
        <w:gridCol w:w="6"/>
        <w:gridCol w:w="1079"/>
        <w:gridCol w:w="5"/>
        <w:gridCol w:w="1042"/>
        <w:gridCol w:w="2"/>
        <w:gridCol w:w="1784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№ п/п</w:t>
            </w:r>
          </w:p>
        </w:tc>
        <w:tc>
          <w:tcPr>
            <w:tcW w:w="1192" w:type="pct"/>
            <w:gridSpan w:val="3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Наименование показателя</w:t>
            </w:r>
          </w:p>
        </w:tc>
        <w:tc>
          <w:tcPr>
            <w:tcW w:w="978" w:type="pct"/>
            <w:gridSpan w:val="2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Ед. изм</w:t>
            </w:r>
          </w:p>
        </w:tc>
        <w:tc>
          <w:tcPr>
            <w:tcW w:w="379" w:type="pct"/>
            <w:gridSpan w:val="3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Существующее состояние</w:t>
            </w:r>
          </w:p>
        </w:tc>
        <w:tc>
          <w:tcPr>
            <w:tcW w:w="566" w:type="pct"/>
            <w:gridSpan w:val="2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1 этап (проект)</w:t>
            </w:r>
          </w:p>
        </w:tc>
        <w:tc>
          <w:tcPr>
            <w:tcW w:w="544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Всего</w:t>
            </w:r>
          </w:p>
        </w:tc>
        <w:tc>
          <w:tcPr>
            <w:tcW w:w="934" w:type="pct"/>
            <w:gridSpan w:val="3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Примечание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lang w:val="zh-CN" w:eastAsia="ru-RU"/>
              </w:rPr>
              <w:t>1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lang w:val="zh-CN" w:eastAsia="ru-RU"/>
              </w:rPr>
              <w:t>Сведения о плотности и параметрах застройки территории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1.1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Площадь территории</w:t>
            </w:r>
            <w:r>
              <w:rPr>
                <w:sz w:val="20"/>
                <w:szCs w:val="20"/>
                <w:lang w:eastAsia="ru-RU"/>
              </w:rPr>
              <w:t xml:space="preserve"> в границах проектирования</w:t>
            </w:r>
            <w:r>
              <w:rPr>
                <w:sz w:val="20"/>
                <w:szCs w:val="20"/>
                <w:lang w:val="zh-CN" w:eastAsia="ru-RU"/>
              </w:rPr>
              <w:t>, всего</w:t>
            </w:r>
            <w:r>
              <w:rPr>
                <w:sz w:val="20"/>
                <w:szCs w:val="20"/>
                <w:lang w:val="zh-CN" w:eastAsia="ru-RU"/>
              </w:rPr>
              <w:br w:type="textWrapping"/>
            </w:r>
            <w:r>
              <w:rPr>
                <w:sz w:val="20"/>
                <w:szCs w:val="20"/>
                <w:lang w:val="zh-CN" w:eastAsia="ru-RU"/>
              </w:rPr>
              <w:t>в том числе территории: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ru-RU"/>
              </w:rPr>
              <w:t>64</w:t>
            </w:r>
            <w:r>
              <w:rPr>
                <w:sz w:val="20"/>
                <w:szCs w:val="20"/>
                <w:lang w:val="zh-CN" w:eastAsia="ru-RU"/>
              </w:rPr>
              <w:t>,</w:t>
            </w:r>
            <w:r>
              <w:rPr>
                <w:rFonts w:hint="default"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val="zh-CN"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1F1F1" w:themeFill="background1" w:themeFillShade="F2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596" w:type="pct"/>
            <w:gridSpan w:val="14"/>
            <w:shd w:val="clear" w:color="auto" w:fill="F1F1F1" w:themeFill="background1" w:themeFillShade="F2"/>
            <w:vAlign w:val="center"/>
          </w:tcPr>
          <w:p>
            <w:pPr>
              <w:ind w:firstLine="0"/>
              <w:rPr>
                <w:sz w:val="20"/>
                <w:szCs w:val="20"/>
                <w:lang w:val="zh-CN" w:eastAsia="ru-RU"/>
              </w:rPr>
            </w:pPr>
            <w:r>
              <w:rPr>
                <w:rFonts w:eastAsiaTheme="minorHAnsi"/>
                <w:sz w:val="20"/>
                <w:szCs w:val="20"/>
              </w:rPr>
              <w:t>Площадь элементов планировочной структуры в границах красных линий, в том числе: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168" w:hRule="atLeas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элемент планировочной структуры:</w:t>
            </w:r>
          </w:p>
        </w:tc>
        <w:tc>
          <w:tcPr>
            <w:tcW w:w="3403" w:type="pct"/>
            <w:gridSpan w:val="11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70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525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13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15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18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19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22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0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23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24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default"/>
                <w:color w:val="000000"/>
                <w:sz w:val="22"/>
                <w:lang w:val="en-US"/>
              </w:rPr>
              <w:t>25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Население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2.1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Численность населения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чел.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186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450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636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2.2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Плотность населения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чел/га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9</w:t>
            </w:r>
            <w:r>
              <w:rPr>
                <w:sz w:val="20"/>
                <w:szCs w:val="20"/>
                <w:highlight w:val="none"/>
                <w:lang w:eastAsia="ru-RU"/>
              </w:rPr>
              <w:t>,</w:t>
            </w: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87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eastAsia="ru-RU"/>
              </w:rPr>
            </w:pPr>
            <w:bookmarkStart w:id="6" w:name="_Hlk141880189"/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Сведения о характеристиках объектов капитального строительства жилого назначения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3.1</w:t>
            </w:r>
          </w:p>
        </w:tc>
        <w:tc>
          <w:tcPr>
            <w:tcW w:w="4596" w:type="pct"/>
            <w:gridSpan w:val="14"/>
            <w:shd w:val="clear" w:color="auto" w:fill="auto"/>
            <w:vAlign w:val="center"/>
          </w:tcPr>
          <w:p>
            <w:pPr>
              <w:ind w:firstLine="0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Средняя этажность застройки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3.1.1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 xml:space="preserve">Для зоны </w:t>
            </w:r>
            <w:r>
              <w:rPr>
                <w:sz w:val="20"/>
                <w:szCs w:val="20"/>
                <w:highlight w:val="none"/>
              </w:rPr>
              <w:t>застройки индивидуальными жилыми домами (Ж1)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этаж.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1-3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1-3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1-3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Не более 3 этажей согласно ПЗЗ</w:t>
            </w:r>
            <w:r>
              <w:rPr>
                <w:color w:val="000000" w:themeColor="text1"/>
                <w:sz w:val="20"/>
                <w:szCs w:val="20"/>
                <w:highlight w:val="none"/>
                <w:lang w:val="zh-CN" w:eastAsia="ru-RU"/>
                <w14:textFill>
                  <w14:solidFill>
                    <w14:schemeClr w14:val="tx1"/>
                  </w14:solidFill>
                </w14:textFill>
              </w:rPr>
              <w:t xml:space="preserve"> (утв. </w:t>
            </w:r>
            <w:r>
              <w:rPr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Решением №152 от 25.06.2021</w:t>
            </w:r>
            <w:r>
              <w:rPr>
                <w:color w:val="000000" w:themeColor="text1"/>
                <w:sz w:val="20"/>
                <w:szCs w:val="20"/>
                <w:highlight w:val="none"/>
                <w:lang w:val="zh-CN" w:eastAsia="ru-RU"/>
                <w14:textFill>
                  <w14:solidFill>
                    <w14:schemeClr w14:val="tx1"/>
                  </w14:solidFill>
                </w14:textFill>
              </w:rPr>
              <w:t xml:space="preserve"> Собрания муниципального образования «Городской округ Ногликский»)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3.1.2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</w:rPr>
              <w:t>Для многофункциональной общественно-деловой зоны (Од1)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этаж.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1-2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1-2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Не более 5 этажей </w:t>
            </w:r>
            <w:r>
              <w:rPr>
                <w:color w:val="000000" w:themeColor="text1"/>
                <w:sz w:val="20"/>
                <w:szCs w:val="20"/>
                <w:highlight w:val="none"/>
                <w:lang w:val="zh-CN" w:eastAsia="ru-RU"/>
                <w14:textFill>
                  <w14:solidFill>
                    <w14:schemeClr w14:val="tx1"/>
                  </w14:solidFill>
                </w14:textFill>
              </w:rPr>
              <w:t xml:space="preserve">согласно </w:t>
            </w:r>
            <w:r>
              <w:rPr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ПЗЗ</w:t>
            </w:r>
            <w:r>
              <w:rPr>
                <w:color w:val="000000" w:themeColor="text1"/>
                <w:sz w:val="20"/>
                <w:szCs w:val="20"/>
                <w:highlight w:val="none"/>
                <w:lang w:val="zh-CN" w:eastAsia="ru-RU"/>
                <w14:textFill>
                  <w14:solidFill>
                    <w14:schemeClr w14:val="tx1"/>
                  </w14:solidFill>
                </w14:textFill>
              </w:rPr>
              <w:t xml:space="preserve"> (утв. </w:t>
            </w:r>
            <w:r>
              <w:rPr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Решением №152 от 25.06.2021</w:t>
            </w:r>
            <w:r>
              <w:rPr>
                <w:color w:val="000000" w:themeColor="text1"/>
                <w:sz w:val="20"/>
                <w:szCs w:val="20"/>
                <w:highlight w:val="none"/>
                <w:lang w:val="zh-CN" w:eastAsia="ru-RU"/>
                <w14:textFill>
                  <w14:solidFill>
                    <w14:schemeClr w14:val="tx1"/>
                  </w14:solidFill>
                </w14:textFill>
              </w:rPr>
              <w:t xml:space="preserve"> Собрания муниципального образования «Городской округ Ногликский»)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3.2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Общий объем жилищного фонда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кв.м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7440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18000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25440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3.3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Средняя обеспеченность населения жилой площадью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кв.м/чел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40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40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widowControl w:val="0"/>
              <w:ind w:firstLine="0"/>
              <w:rPr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sz w:val="20"/>
                <w:szCs w:val="20"/>
                <w:highlight w:val="none"/>
                <w:lang w:eastAsia="ru-RU" w:bidi="ru-RU"/>
              </w:rPr>
              <w:t>35 кв. м / чел – обеспеченность общей жилой площадью при новом строительстве</w:t>
            </w:r>
          </w:p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 w:bidi="ru-RU"/>
              </w:rPr>
              <w:t>на свободных территориях согласно МНГП, утв. решением №151 от 25.07.2021</w:t>
            </w:r>
            <w:r>
              <w:rPr>
                <w:rFonts w:ascii="PT Sans" w:hAnsi="PT Sans"/>
                <w:color w:val="212529"/>
                <w:sz w:val="21"/>
                <w:szCs w:val="21"/>
                <w:highlight w:val="none"/>
                <w:lang w:eastAsia="ru-RU"/>
              </w:rPr>
              <w:t xml:space="preserve"> </w:t>
            </w:r>
            <w:r>
              <w:rPr>
                <w:sz w:val="20"/>
                <w:szCs w:val="20"/>
                <w:highlight w:val="none"/>
                <w:lang w:eastAsia="ru-RU" w:bidi="ru-RU"/>
              </w:rPr>
              <w:t>Собрания муниципального образования «Городской округ Ногликский»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3.4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Общее количество жилых домов</w:t>
            </w:r>
            <w:r>
              <w:rPr>
                <w:sz w:val="20"/>
                <w:szCs w:val="20"/>
                <w:highlight w:val="none"/>
                <w:lang w:eastAsia="ru-RU"/>
              </w:rPr>
              <w:t>, в том числе: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шт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62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150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212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4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Сведения и характеристик</w:t>
            </w:r>
            <w:r>
              <w:rPr>
                <w:b/>
                <w:bCs/>
                <w:sz w:val="20"/>
                <w:szCs w:val="20"/>
                <w:highlight w:val="none"/>
                <w:lang w:eastAsia="ru-RU"/>
              </w:rPr>
              <w:t>и</w:t>
            </w: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 xml:space="preserve"> объектов капитального строительства общественно-делового и иного назначения, коммунальной, транспортной и социальной инфраструктурах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4.1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Объекты в области обеспечения объектами транспортной инфраструктуры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90" w:hRule="atLeast"/>
        </w:trPr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4.1.1</w:t>
            </w:r>
          </w:p>
        </w:tc>
        <w:tc>
          <w:tcPr>
            <w:tcW w:w="1192" w:type="pct"/>
            <w:gridSpan w:val="3"/>
            <w:vMerge w:val="restar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Автомобильные дороги (улично-дорожная сеть</w:t>
            </w:r>
            <w:r>
              <w:rPr>
                <w:sz w:val="20"/>
                <w:szCs w:val="20"/>
                <w:highlight w:val="none"/>
                <w:lang w:eastAsia="ru-RU"/>
              </w:rPr>
              <w:t>, в том числе улицы местного значения, проезды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Плотность улично-дорожной сети</w:t>
            </w:r>
            <w:r>
              <w:rPr>
                <w:sz w:val="20"/>
                <w:szCs w:val="20"/>
                <w:highlight w:val="none"/>
                <w:lang w:eastAsia="ru-RU"/>
              </w:rPr>
              <w:t xml:space="preserve"> границах проектирования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, км/кв.км территории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25,18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90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2" w:type="pct"/>
            <w:gridSpan w:val="3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 xml:space="preserve">Протяженность 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улично-дорожной сети</w:t>
            </w:r>
            <w:r>
              <w:rPr>
                <w:sz w:val="20"/>
                <w:szCs w:val="20"/>
                <w:highlight w:val="none"/>
                <w:lang w:eastAsia="ru-RU"/>
              </w:rPr>
              <w:t xml:space="preserve"> в границах проектирования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, км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8,31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90" w:hRule="atLeas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Велосипедные дорожки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Протяженность велодорожек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 xml:space="preserve"> </w:t>
            </w:r>
            <w:r>
              <w:rPr>
                <w:sz w:val="20"/>
                <w:szCs w:val="20"/>
                <w:highlight w:val="none"/>
                <w:lang w:eastAsia="ru-RU"/>
              </w:rPr>
              <w:t>границах проектирования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, км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4,22</w:t>
            </w:r>
          </w:p>
        </w:tc>
        <w:tc>
          <w:tcPr>
            <w:tcW w:w="934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4.1.2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Стоянки и парковки</w:t>
            </w:r>
            <w:r>
              <w:rPr>
                <w:sz w:val="20"/>
                <w:szCs w:val="20"/>
                <w:highlight w:val="none"/>
                <w:lang w:eastAsia="ru-RU"/>
              </w:rPr>
              <w:t xml:space="preserve"> (машино-места)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мест</w:t>
            </w:r>
          </w:p>
        </w:tc>
        <w:tc>
          <w:tcPr>
            <w:tcW w:w="2425" w:type="pct"/>
            <w:gridSpan w:val="9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bookmarkStart w:id="7" w:name="_Hlk126246986"/>
            <w:r>
              <w:rPr>
                <w:sz w:val="20"/>
                <w:szCs w:val="20"/>
                <w:highlight w:val="none"/>
                <w:lang w:val="zh-CN" w:eastAsia="ru-RU"/>
              </w:rPr>
              <w:t xml:space="preserve">Размещение </w:t>
            </w:r>
            <w:r>
              <w:rPr>
                <w:sz w:val="20"/>
                <w:szCs w:val="20"/>
                <w:highlight w:val="none"/>
                <w:lang w:eastAsia="ru-RU"/>
              </w:rPr>
              <w:t xml:space="preserve">и хранение 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 xml:space="preserve">автотранспорта осуществляется </w:t>
            </w:r>
            <w:r>
              <w:rPr>
                <w:sz w:val="20"/>
                <w:szCs w:val="20"/>
                <w:highlight w:val="none"/>
                <w:lang w:eastAsia="ru-RU"/>
              </w:rPr>
              <w:t xml:space="preserve">в границах </w:t>
            </w:r>
            <w:r>
              <w:rPr>
                <w:sz w:val="20"/>
                <w:szCs w:val="20"/>
                <w:highlight w:val="none"/>
                <w:lang w:val="zh-CN" w:eastAsia="ru-RU"/>
              </w:rPr>
              <w:t>земельных участк</w:t>
            </w:r>
            <w:r>
              <w:rPr>
                <w:sz w:val="20"/>
                <w:szCs w:val="20"/>
                <w:highlight w:val="none"/>
                <w:lang w:eastAsia="ru-RU"/>
              </w:rPr>
              <w:t>ов</w:t>
            </w:r>
            <w:bookmarkEnd w:id="7"/>
            <w:r>
              <w:rPr>
                <w:sz w:val="20"/>
                <w:szCs w:val="20"/>
                <w:highlight w:val="none"/>
                <w:lang w:eastAsia="ru-RU"/>
              </w:rPr>
              <w:t xml:space="preserve"> частной собственности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4.2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Объекты в области обращения с отходами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2210" w:hRule="atLeas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4.2.1</w:t>
            </w:r>
          </w:p>
        </w:tc>
        <w:tc>
          <w:tcPr>
            <w:tcW w:w="1192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Объекты, предназначенные для сбора и вывоза коммунальных отходов</w:t>
            </w:r>
          </w:p>
        </w:tc>
        <w:tc>
          <w:tcPr>
            <w:tcW w:w="3403" w:type="pct"/>
            <w:gridSpan w:val="11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нормы накопления коммунальных отходов, килограммы, литры на 1 человека в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1148" w:hRule="atLeast"/>
        </w:trPr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4.2.2</w:t>
            </w:r>
          </w:p>
        </w:tc>
        <w:tc>
          <w:tcPr>
            <w:tcW w:w="667" w:type="pct"/>
            <w:gridSpan w:val="2"/>
            <w:vMerge w:val="restar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Твердые коммунальные отходы (ТКО) с учетом крупногабаритных отходов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Индивидуальные жилые дома (с учетом накопления крупногабаритных отходов)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418,56 кг/год на 1 проживающего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77,85 тонн/год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188,35 тонн/год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>266,20 тонн/год</w:t>
            </w:r>
          </w:p>
        </w:tc>
        <w:tc>
          <w:tcPr>
            <w:tcW w:w="934" w:type="pct"/>
            <w:gridSpan w:val="3"/>
            <w:vMerge w:val="restar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Согласно Приказу от 29 октября 2021 года № 3.10-34-п «Об утверждении нормативов накопления твердых коммунальных отходов на территории Сахалинской области»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1147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667" w:type="pct"/>
            <w:gridSpan w:val="2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524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 xml:space="preserve">3,376 </w:t>
            </w:r>
            <w:r>
              <w:rPr>
                <w:sz w:val="20"/>
                <w:szCs w:val="20"/>
                <w:highlight w:val="none"/>
              </w:rPr>
              <w:t>м</w:t>
            </w:r>
            <w:r>
              <w:rPr>
                <w:sz w:val="20"/>
                <w:szCs w:val="20"/>
                <w:highlight w:val="none"/>
                <w:vertAlign w:val="superscript"/>
              </w:rPr>
              <w:t>3</w:t>
            </w:r>
            <w:r>
              <w:rPr>
                <w:sz w:val="20"/>
                <w:szCs w:val="20"/>
                <w:highlight w:val="none"/>
              </w:rPr>
              <w:t>/год</w:t>
            </w:r>
            <w:r>
              <w:rPr>
                <w:b/>
                <w:sz w:val="20"/>
                <w:szCs w:val="20"/>
                <w:highlight w:val="none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none"/>
              </w:rPr>
              <w:t>на 1 проживающего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 xml:space="preserve">627,94 </w:t>
            </w:r>
            <w:r>
              <w:rPr>
                <w:sz w:val="20"/>
                <w:szCs w:val="20"/>
                <w:highlight w:val="none"/>
              </w:rPr>
              <w:t>м</w:t>
            </w:r>
            <w:r>
              <w:rPr>
                <w:sz w:val="20"/>
                <w:szCs w:val="20"/>
                <w:highlight w:val="none"/>
                <w:vertAlign w:val="superscript"/>
              </w:rPr>
              <w:t>3</w:t>
            </w:r>
            <w:r>
              <w:rPr>
                <w:sz w:val="20"/>
                <w:szCs w:val="20"/>
                <w:highlight w:val="none"/>
              </w:rPr>
              <w:t>/год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 xml:space="preserve">1519,20 </w:t>
            </w:r>
            <w:r>
              <w:rPr>
                <w:sz w:val="20"/>
                <w:szCs w:val="20"/>
                <w:highlight w:val="none"/>
              </w:rPr>
              <w:t>м</w:t>
            </w:r>
            <w:r>
              <w:rPr>
                <w:sz w:val="20"/>
                <w:szCs w:val="20"/>
                <w:highlight w:val="none"/>
                <w:vertAlign w:val="superscript"/>
              </w:rPr>
              <w:t>3</w:t>
            </w:r>
            <w:r>
              <w:rPr>
                <w:sz w:val="20"/>
                <w:szCs w:val="20"/>
                <w:highlight w:val="none"/>
              </w:rPr>
              <w:t>/год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color w:val="000000"/>
                <w:sz w:val="20"/>
                <w:szCs w:val="20"/>
                <w:highlight w:val="none"/>
              </w:rPr>
              <w:t xml:space="preserve">2147,145 </w:t>
            </w:r>
            <w:r>
              <w:rPr>
                <w:sz w:val="20"/>
                <w:szCs w:val="20"/>
                <w:highlight w:val="none"/>
              </w:rPr>
              <w:t>м</w:t>
            </w:r>
            <w:r>
              <w:rPr>
                <w:sz w:val="20"/>
                <w:szCs w:val="20"/>
                <w:highlight w:val="none"/>
                <w:vertAlign w:val="superscript"/>
              </w:rPr>
              <w:t>3</w:t>
            </w:r>
            <w:r>
              <w:rPr>
                <w:sz w:val="20"/>
                <w:szCs w:val="20"/>
                <w:highlight w:val="none"/>
              </w:rPr>
              <w:t>/год</w:t>
            </w:r>
          </w:p>
        </w:tc>
        <w:tc>
          <w:tcPr>
            <w:tcW w:w="934" w:type="pct"/>
            <w:gridSpan w:val="3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90" w:hRule="atLeast"/>
        </w:trPr>
        <w:tc>
          <w:tcPr>
            <w:tcW w:w="402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4.2.3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bookmarkStart w:id="8" w:name="_Hlk126247273"/>
            <w:r>
              <w:rPr>
                <w:sz w:val="20"/>
                <w:szCs w:val="20"/>
                <w:highlight w:val="none"/>
                <w:lang w:eastAsia="ru-RU"/>
              </w:rPr>
              <w:t>Жидкие коммунальные отходы</w:t>
            </w:r>
          </w:p>
          <w:bookmarkEnd w:id="8"/>
        </w:tc>
        <w:tc>
          <w:tcPr>
            <w:tcW w:w="524" w:type="pc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из выгребов (при отсутствии канализации)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2500 л/чел./год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465,0 м</w:t>
            </w:r>
            <w:r>
              <w:rPr>
                <w:sz w:val="20"/>
                <w:szCs w:val="20"/>
                <w:highlight w:val="none"/>
                <w:vertAlign w:val="superscript"/>
                <w:lang w:eastAsia="ru-RU"/>
              </w:rPr>
              <w:t>3</w:t>
            </w:r>
            <w:r>
              <w:rPr>
                <w:sz w:val="20"/>
                <w:szCs w:val="20"/>
                <w:highlight w:val="none"/>
                <w:lang w:eastAsia="ru-RU"/>
              </w:rPr>
              <w:t>/год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1125,0 м</w:t>
            </w:r>
            <w:r>
              <w:rPr>
                <w:sz w:val="20"/>
                <w:szCs w:val="20"/>
                <w:highlight w:val="none"/>
                <w:vertAlign w:val="superscript"/>
                <w:lang w:eastAsia="ru-RU"/>
              </w:rPr>
              <w:t>3</w:t>
            </w:r>
            <w:r>
              <w:rPr>
                <w:sz w:val="20"/>
                <w:szCs w:val="20"/>
                <w:highlight w:val="none"/>
                <w:lang w:eastAsia="ru-RU"/>
              </w:rPr>
              <w:t>/год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1590,0 м</w:t>
            </w:r>
            <w:r>
              <w:rPr>
                <w:sz w:val="20"/>
                <w:szCs w:val="20"/>
                <w:highlight w:val="none"/>
                <w:vertAlign w:val="superscript"/>
                <w:lang w:eastAsia="ru-RU"/>
              </w:rPr>
              <w:t>3</w:t>
            </w:r>
            <w:r>
              <w:rPr>
                <w:sz w:val="20"/>
                <w:szCs w:val="20"/>
                <w:highlight w:val="none"/>
                <w:lang w:eastAsia="ru-RU"/>
              </w:rPr>
              <w:t>/год</w:t>
            </w:r>
          </w:p>
        </w:tc>
        <w:tc>
          <w:tcPr>
            <w:tcW w:w="934" w:type="pct"/>
            <w:gridSpan w:val="3"/>
            <w:vMerge w:val="restar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Согласно СП 42.13330.2016 «Градостроительство. Планировка и застройка городских и сельских поселений». Актуализированная редакция  СНиП 2.07.01-89* (с изм. от 31.05.2022 N 434/пр)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288" w:hRule="atLeast"/>
        </w:trPr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4.2.4</w:t>
            </w:r>
          </w:p>
        </w:tc>
        <w:tc>
          <w:tcPr>
            <w:tcW w:w="1192" w:type="pct"/>
            <w:gridSpan w:val="3"/>
            <w:vMerge w:val="restart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Смет с 1 кв. м твердых покрытий</w:t>
            </w:r>
          </w:p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zh-CN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5 кг/чел./год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0,93 тонн/год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2,25 тонн/год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3,18 тонн/год</w:t>
            </w:r>
          </w:p>
        </w:tc>
        <w:tc>
          <w:tcPr>
            <w:tcW w:w="934" w:type="pct"/>
            <w:gridSpan w:val="3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288" w:hRule="atLeast"/>
        </w:trPr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2" w:type="pct"/>
            <w:gridSpan w:val="3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8 л/чел./год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1,49 м3/год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3,60 м</w:t>
            </w:r>
            <w:r>
              <w:rPr>
                <w:sz w:val="20"/>
                <w:szCs w:val="20"/>
                <w:highlight w:val="none"/>
                <w:vertAlign w:val="superscript"/>
                <w:lang w:eastAsia="ru-RU"/>
              </w:rPr>
              <w:t>3</w:t>
            </w:r>
            <w:r>
              <w:rPr>
                <w:sz w:val="20"/>
                <w:szCs w:val="20"/>
                <w:highlight w:val="none"/>
                <w:lang w:eastAsia="ru-RU"/>
              </w:rPr>
              <w:t>/год</w:t>
            </w:r>
          </w:p>
        </w:tc>
        <w:tc>
          <w:tcPr>
            <w:tcW w:w="544" w:type="pct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sz w:val="20"/>
                <w:szCs w:val="20"/>
                <w:highlight w:val="none"/>
                <w:lang w:eastAsia="ru-RU"/>
              </w:rPr>
              <w:t>5,09 м</w:t>
            </w:r>
            <w:r>
              <w:rPr>
                <w:sz w:val="20"/>
                <w:szCs w:val="20"/>
                <w:highlight w:val="none"/>
                <w:vertAlign w:val="superscript"/>
                <w:lang w:eastAsia="ru-RU"/>
              </w:rPr>
              <w:t>3</w:t>
            </w:r>
            <w:r>
              <w:rPr>
                <w:sz w:val="20"/>
                <w:szCs w:val="20"/>
                <w:highlight w:val="none"/>
                <w:lang w:eastAsia="ru-RU"/>
              </w:rPr>
              <w:t>/год</w:t>
            </w:r>
          </w:p>
        </w:tc>
        <w:tc>
          <w:tcPr>
            <w:tcW w:w="934" w:type="pct"/>
            <w:gridSpan w:val="3"/>
            <w:vMerge w:val="continue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</w:trPr>
        <w:tc>
          <w:tcPr>
            <w:tcW w:w="402" w:type="pct"/>
            <w:shd w:val="clear" w:color="auto" w:fill="F2F2F2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4.3</w:t>
            </w:r>
          </w:p>
        </w:tc>
        <w:tc>
          <w:tcPr>
            <w:tcW w:w="4596" w:type="pct"/>
            <w:gridSpan w:val="14"/>
            <w:shd w:val="clear" w:color="auto" w:fill="F2F2F2"/>
            <w:vAlign w:val="center"/>
          </w:tcPr>
          <w:p>
            <w:pPr>
              <w:ind w:firstLine="0"/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b/>
                <w:bCs/>
                <w:sz w:val="20"/>
                <w:szCs w:val="20"/>
                <w:highlight w:val="none"/>
                <w:lang w:val="zh-CN" w:eastAsia="ru-RU"/>
              </w:rPr>
              <w:t>Объекты в области обеспечения инженерной и коммунальной инфраструктурой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49" w:hRule="atLeast"/>
        </w:trPr>
        <w:tc>
          <w:tcPr>
            <w:tcW w:w="407" w:type="pct"/>
            <w:gridSpan w:val="3"/>
            <w:vMerge w:val="restart"/>
            <w:shd w:val="clear" w:color="auto" w:fill="FFFFFF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4.3.1</w:t>
            </w:r>
          </w:p>
        </w:tc>
        <w:tc>
          <w:tcPr>
            <w:tcW w:w="4590" w:type="pct"/>
            <w:gridSpan w:val="1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highlight w:val="none"/>
              </w:rPr>
              <w:t>Водоснабжение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Водопотребление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тыс. м3/сут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186,37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сетей водоснабжения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6,02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64" w:hRule="atLeast"/>
        </w:trPr>
        <w:tc>
          <w:tcPr>
            <w:tcW w:w="407" w:type="pct"/>
            <w:gridSpan w:val="3"/>
            <w:vMerge w:val="continue"/>
            <w:shd w:val="clear" w:color="auto" w:fill="FFFFFF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строительство 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6,02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173" w:hRule="atLeast"/>
        </w:trPr>
        <w:tc>
          <w:tcPr>
            <w:tcW w:w="407" w:type="pct"/>
            <w:gridSpan w:val="3"/>
            <w:vMerge w:val="restart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4.3.</w:t>
            </w: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2</w:t>
            </w:r>
          </w:p>
        </w:tc>
        <w:tc>
          <w:tcPr>
            <w:tcW w:w="4590" w:type="pct"/>
            <w:gridSpan w:val="1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highlight w:val="none"/>
              </w:rPr>
              <w:t>Водоотведение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64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Общее поступление сточных вод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тыс. м3/сут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  <w:t>100,24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64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сетей бытовой канализации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6,567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строительство 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6,567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restart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4.3.</w:t>
            </w: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3</w:t>
            </w:r>
          </w:p>
        </w:tc>
        <w:tc>
          <w:tcPr>
            <w:tcW w:w="4590" w:type="pct"/>
            <w:gridSpan w:val="1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Times New Roman" w:hAnsi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none"/>
              </w:rPr>
              <w:t>Газоснабжение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Потребление газа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м3/ч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  <w:t>457,4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сетей, в т. ч.: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6,380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8,620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прокладка среднего давления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0,770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 среднего давления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0,740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прокладка низкого давления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5,040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 низкого давления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2,830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restart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4.3.</w:t>
            </w: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4</w:t>
            </w:r>
          </w:p>
        </w:tc>
        <w:tc>
          <w:tcPr>
            <w:tcW w:w="4590" w:type="pct"/>
            <w:gridSpan w:val="1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Times New Roman" w:hAnsi="Times New Roman" w:eastAsia="Times New Roman"/>
                <w:b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highlight w:val="none"/>
                <w:lang w:eastAsia="ru-RU"/>
              </w:rPr>
              <w:t>Электроснабжение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 линии 35 кВ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0,662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0,753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en-US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0,387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прокладка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0,478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 линии 10(6) кВ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1,072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1,216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en-US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0,628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прокладка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0,772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линии 0,4 кВ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4,793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10,068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en-US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2,706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прокладка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7,981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Подстанции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ед.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highlight w:val="none"/>
                <w:lang w:val="zh-CN" w:eastAsia="ru-RU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Электрическая нагрузка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кВа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eastAsia="ru-RU"/>
              </w:rPr>
              <w:t>246,77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ru-RU" w:eastAsia="ru-RU" w:bidi="ar-SA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restart"/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sz w:val="20"/>
                <w:szCs w:val="20"/>
                <w:highlight w:val="none"/>
                <w:lang w:val="zh-CN" w:eastAsia="ru-RU"/>
              </w:rPr>
              <w:t>4.3.</w:t>
            </w:r>
            <w:r>
              <w:rPr>
                <w:rFonts w:hint="default"/>
                <w:sz w:val="20"/>
                <w:szCs w:val="20"/>
                <w:highlight w:val="none"/>
                <w:lang w:val="en-US" w:eastAsia="ru-RU"/>
              </w:rPr>
              <w:t>5</w:t>
            </w:r>
          </w:p>
        </w:tc>
        <w:tc>
          <w:tcPr>
            <w:tcW w:w="4590" w:type="pct"/>
            <w:gridSpan w:val="1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Times New Roman" w:hAnsi="Times New Roman" w:eastAsia="Times New Roman"/>
                <w:b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highlight w:val="none"/>
                <w:lang w:eastAsia="ru-RU"/>
              </w:rPr>
              <w:t>Связь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spacing w:after="0"/>
              <w:ind w:left="102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Протяженность сетей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4,847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2,315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1"/>
          <w:wAfter w:w="2" w:type="pct"/>
          <w:trHeight w:val="279" w:hRule="atLeast"/>
        </w:trPr>
        <w:tc>
          <w:tcPr>
            <w:tcW w:w="407" w:type="pct"/>
            <w:gridSpan w:val="3"/>
            <w:vMerge w:val="continue"/>
            <w:shd w:val="clear" w:color="auto" w:fill="FFFFFF"/>
            <w:vAlign w:val="center"/>
          </w:tcPr>
          <w:p>
            <w:pPr>
              <w:spacing w:after="0"/>
              <w:ind w:left="102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90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 xml:space="preserve">   - демонтаж</w:t>
            </w:r>
          </w:p>
        </w:tc>
        <w:tc>
          <w:tcPr>
            <w:tcW w:w="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км</w:t>
            </w:r>
          </w:p>
        </w:tc>
        <w:tc>
          <w:tcPr>
            <w:tcW w:w="373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-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color w:val="000000"/>
                <w:sz w:val="20"/>
                <w:szCs w:val="20"/>
                <w:highlight w:val="none"/>
                <w:lang w:eastAsia="ru-RU"/>
              </w:rPr>
              <w:t>2,532</w:t>
            </w:r>
          </w:p>
        </w:tc>
        <w:tc>
          <w:tcPr>
            <w:tcW w:w="547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931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0"/>
              <w:jc w:val="center"/>
              <w:rPr>
                <w:color w:val="000000"/>
                <w:sz w:val="20"/>
                <w:szCs w:val="20"/>
                <w:highlight w:val="none"/>
                <w:lang w:eastAsia="ru-RU"/>
              </w:rPr>
            </w:pPr>
          </w:p>
        </w:tc>
      </w:tr>
    </w:tbl>
    <w:p>
      <w:pPr>
        <w:rPr>
          <w:rFonts w:eastAsia="Calibri"/>
          <w:highlight w:val="none"/>
        </w:rPr>
      </w:pPr>
    </w:p>
    <w:p>
      <w:pPr>
        <w:pStyle w:val="2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28588226"/>
      <w:bookmarkStart w:id="10" w:name="_Toc141885022"/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2.2.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Характеристика объектов социального обслуживания</w:t>
      </w:r>
      <w:bookmarkEnd w:id="9"/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  <w:bookmarkEnd w:id="10"/>
    </w:p>
    <w:p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Проектирование и строительство необходимых для функционирования и обеспечения жизнедеятельности граждан объектов благоустройства осуществляется параллельно.</w:t>
      </w:r>
    </w:p>
    <w:p>
      <w:pPr>
        <w:spacing w:line="276" w:lineRule="auto"/>
        <w:ind w:firstLine="567"/>
        <w:rPr>
          <w:sz w:val="24"/>
          <w:szCs w:val="24"/>
        </w:rPr>
      </w:pPr>
    </w:p>
    <w:p>
      <w:pPr>
        <w:pStyle w:val="2"/>
        <w:numPr>
          <w:ilvl w:val="0"/>
          <w:numId w:val="2"/>
        </w:numPr>
        <w:ind w:firstLin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41885024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Перечень координат характерных точек устанавливаемых красных линий</w:t>
      </w:r>
      <w:bookmarkEnd w:id="11"/>
    </w:p>
    <w:p>
      <w:pPr>
        <w:spacing w:line="276" w:lineRule="auto"/>
        <w:ind w:firstLine="567"/>
        <w:rPr>
          <w:rFonts w:hint="default"/>
          <w:sz w:val="24"/>
          <w:szCs w:val="24"/>
        </w:rPr>
      </w:pPr>
    </w:p>
    <w:p>
      <w:pPr>
        <w:spacing w:line="276" w:lineRule="auto"/>
        <w:ind w:firstLine="567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Перечень координат </w:t>
      </w:r>
      <w:r>
        <w:rPr>
          <w:rFonts w:hint="default"/>
          <w:sz w:val="24"/>
          <w:szCs w:val="24"/>
          <w:lang w:val="ru-RU"/>
        </w:rPr>
        <w:t>характерных</w:t>
      </w:r>
      <w:r>
        <w:rPr>
          <w:rFonts w:hint="default"/>
          <w:sz w:val="24"/>
          <w:szCs w:val="24"/>
        </w:rPr>
        <w:t xml:space="preserve"> точек устанавливаемых красных линий</w:t>
      </w:r>
      <w:r>
        <w:rPr>
          <w:sz w:val="24"/>
          <w:szCs w:val="24"/>
        </w:rPr>
        <w:t xml:space="preserve"> приведен в таблице </w:t>
      </w:r>
      <w:r>
        <w:rPr>
          <w:rFonts w:hint="default"/>
          <w:sz w:val="24"/>
          <w:szCs w:val="24"/>
          <w:lang w:val="en-US"/>
        </w:rPr>
        <w:t>2</w:t>
      </w:r>
      <w:r>
        <w:rPr>
          <w:sz w:val="24"/>
          <w:szCs w:val="24"/>
        </w:rPr>
        <w:t>.</w:t>
      </w:r>
    </w:p>
    <w:p>
      <w:pPr>
        <w:jc w:val="right"/>
        <w:rPr>
          <w:rFonts w:eastAsia="Calibri"/>
        </w:rPr>
      </w:pPr>
      <w:r>
        <w:rPr>
          <w:rFonts w:eastAsia="Calibri"/>
          <w:sz w:val="24"/>
          <w:szCs w:val="24"/>
        </w:rPr>
        <w:t xml:space="preserve">Таблица </w:t>
      </w:r>
      <w:r>
        <w:rPr>
          <w:rFonts w:hint="default" w:eastAsia="Calibri"/>
          <w:sz w:val="24"/>
          <w:szCs w:val="24"/>
          <w:lang w:val="en-US"/>
        </w:rPr>
        <w:t>2</w:t>
      </w:r>
    </w:p>
    <w:tbl>
      <w:tblPr>
        <w:tblStyle w:val="4"/>
        <w:tblW w:w="499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3765"/>
        <w:gridCol w:w="35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77" w:type="pc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  <w:t>№ точки</w:t>
            </w:r>
          </w:p>
        </w:tc>
        <w:tc>
          <w:tcPr>
            <w:tcW w:w="1969" w:type="pct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</w:t>
            </w:r>
          </w:p>
        </w:tc>
        <w:tc>
          <w:tcPr>
            <w:tcW w:w="1852" w:type="pc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1222771.85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1222747.75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1222747.05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1328449.14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1222746.33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1222774.71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1222799.70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1222824.70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1222849.71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1222869.69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1222897.58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1222901.06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1222939.77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1222940.81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1328439.86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1222941.43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1328464.89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1222930.04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1328465.22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1222902.18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1222902.19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1222881.28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1328478.36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1222872.60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1328478.87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1222872.39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1328473.34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1222825.91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1222826.06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1222824.49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1222819.42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1222815.35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1222791.48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1222791.45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1328486.55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1222874.85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1222847.91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1222825.46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1222825.34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1222798.50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1222771.68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1222765.37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1222738.37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1222737.70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1222738.22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1328157.62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1222737.88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1328119.44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1222766.86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1222793.53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1222820.86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1222847.86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1222876.37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1222916.30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1222916.39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1222915.60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1222915.74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1222903.11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1222902.91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1222738.50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1222765.94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1222792.52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1222792.93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1328098.74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1222820.84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1328098.77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1222847.68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1222874.67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1222914.66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1328097.42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1222914.47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1328072.82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1222914.27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1328047.81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1222914.07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1222847.09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1222819.57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1222792.07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1222765.23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1222738.23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1222738.37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1328061.16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1222959.08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1328530.20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1222927.90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1328545.38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1222928.50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1328546.58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1222897.13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1328562.11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1222863.99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1222853.68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1222841.41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1328550.25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1222827.08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1328557.20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1222816.65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1328534.43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1222799.64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1222849.28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1328490.49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1222850.49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1222859.31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1328513.89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1222869.94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1328508.02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1222902.03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1222933.54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1222945.27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1328501.60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1222768.49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1222794.48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1328214.70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1222819.99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1222846.46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1222846.45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1222874.81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1222901.81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1222941.80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1222942.24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1328240.34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1222941.20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1328264.87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1222941.08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1328289.78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1222900.88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1222873.97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1222846.92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1222819.94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1222794.52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1222768.53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1328296.50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1222742.53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1222742.52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1222732.11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1222690.55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1222690.55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1328218.47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1222690.55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1222732.11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1222732.11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1222743.48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1222768.47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1222742.02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1328870.76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1222775.89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1328852.82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1222809.66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1328836.53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1222843.44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1328820.24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1222877.22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1328803.95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1222912.13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1328787.13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1222947.03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1222980.80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1328754.01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1223031.24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1328729.68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1223042.96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1222992.53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1328778.32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1222992.53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1328778.33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1222958.76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1328794.62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1222923.86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1328811.45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1222888.95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1328828.27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1222855.17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1328844.55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1222821.39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1328860.85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1222787.61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1328877.14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1222753.94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1328894.96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1222796.05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1222770.85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1222746.06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1328390.11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1222745.45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1328353.69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1222744.79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1222765.32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1328314.60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1222791.55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1222793.16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1222819.56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1222821.14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1222848.13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1222875.13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1222902.46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1328312.52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1222942.42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1222942.79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1328335.75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1222943.18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1328361.93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1222943.54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1222903.69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1328387.52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1222876.44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1328387.82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1222849.66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1222822.70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1222715.13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1222715.56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1328051.62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1222715.99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1328076.62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1222716.42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1328101.62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1222717.37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1328126.61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1222717.56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1222718.17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1328173.29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1222718.17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1222718.17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1222673.51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1222673.51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1222673.54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1328173.99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1222678.17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1328173.94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1222677.57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1222677.15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1222676.74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1328127.29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1222676.43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1328102.21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1222676.00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1328077.21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1222675.57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1328052.31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1222675.14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1328027.32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1222592.36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1328096.54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1222630.14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1328109.69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1222621.92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1328133.30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1222613.70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1222605.48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1328180.52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1222567.70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1328167.37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1222575.92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1222584.14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1328120.15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1222624.40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1328208.29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1222612.11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1328243.59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1222599.82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1328278.89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1222574.32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1328270.01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1222536.55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1222544.74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1328233.33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1222552.93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1222561.13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1328186.26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1222598.90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1222602.33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1328354.11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1222618.84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1328306.68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1222593.29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1222567.75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1328288.90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1222529.97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1328275.74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1222521.71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1222513.46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1328323.17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1222505.20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1328346.88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1222538.92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1328371.70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1222561.72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1222584.52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1222573.47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1328089.96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1222565.25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1328113.57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1222557.03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1328137.18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1222548.81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1328160.79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1222511.04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1328147.64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1222519.26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1328124.03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1222527.48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1328100.42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1222535.70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1328076.81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1222542.24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1328179.68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1222534.04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1328203.22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1222525.85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1328226.75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1222517.66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1222479.88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1328237.13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1222454.38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1328228.25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1222428.88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1328219.37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1222441.17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1328184.08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1222466.67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1328192.95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1222478.96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1328157.65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1222504.46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1328166.53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1222511.08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1328269.17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1222473.31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1222447.76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1328247.12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1222422.21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1328238.23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1222396.67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1222371.12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1328220.44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1222358.74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1328256.01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1222346.35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1222371.90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1328300.47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1222397.45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1328309.37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1222422.99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1222448.54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1328327.16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1222486.31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1328340.31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1222494.57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1328316.60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1222502.83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1328292.88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1222385.39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1328326.35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1222347.61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1328313.19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1222339.42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1328336.73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1222331.22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1328360.26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1222339.67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1328363.20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1222327.86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1328397.02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1222354.07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1328416.30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1222369.00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1328373.41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1222377.19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1328349.88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1222491.29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1328363.22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1222477.51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1222464.91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1222452.31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1328430.02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1222439.71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1328451.61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1222428.39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1222395.99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1328447.16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1222370.92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1222379.42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1222387.63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1328380.72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1222395.86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1328357.11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1222404.27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1328332.92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1222452.80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1328349.82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1222714.88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1222725.37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1328601.63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1222735.86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1328624.31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1222746.35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1328646.99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1222756.84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1222767.33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1328692.34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1222777.82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1328715.02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1222787.59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1328736.13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1222798.64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1328760.02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1222809.47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1328782.00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1222809.11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1328782.18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1222820.04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1328804.49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1222784.42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1328822.65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1222747.45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1328840.80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1222736.20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1328817.97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1222725.95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1328795.15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1222725.70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1328795.26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1222714.58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1222701.70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1222689.61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1328728.30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1222677.52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1328706.36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1222665.44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1328684.42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1222653.35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1222641.26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1222683.09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1328621.19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1222674.15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1222804.23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1328726.89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1222816.43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1222827.63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1222838.84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1328795.94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1222874.59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1328778.01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1222898.91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1328766.28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1222923.05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1222932.53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1328749.49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1222933.69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1328751.69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1222966.96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1328733.35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1222969.07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1328733.06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1222980.89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1328727.06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1223004.03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1328715.61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1223040.08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1223030.33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1328675.22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1223020.59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1328652.19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1223010.87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1328629.16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1222974.83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1222972.46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1328647.01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1222936.25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1222911.98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1328675.93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1222888.01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1328687.27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1222864.08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1328698.58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1222840.38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1222967.15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1328545.33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1222977.81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1328567.30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1222989.28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1328591.37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1222993.61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1328589.51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1223003.45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1328612.50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1222966.68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1328628.26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1222942.36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1328639.98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1222940.79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1222940.92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1222926.74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1328648.57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1222926.30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1328647.58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1222919.00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1328651.03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1222896.40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1222873.80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1328672.41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1222851.20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1222834.40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1222821.32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1328618.50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1222851.68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1222881.60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1328588.21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1222870.68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1328583.04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1222890.39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1222894.56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1328581.69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1222906.17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1222930.31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1328563.73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1222796.96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1328708.75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1222833.12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1328691.65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1222822.77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1222812.27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1222801.77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1328623.89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1222791.28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1328601.20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1222780.78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1222770.28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1328555.82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1222759.79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1328533.13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1222749.29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1328510.44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1222730.78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1328519.00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1222712.99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1328527.23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1222723.48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1328549.92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1222733.98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1222744.48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1222754.97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1328617.99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1222765.47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1328640.68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1222775.97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1328663.37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1222786.46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1328686.06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1222833.58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1327966.54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1222833.01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1327931.34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1222873.03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1327930.34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1222917.47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1327929.23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1222917.91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1327954.23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1222918.34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1327978.72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1222916.55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1328002.79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1222874.31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1222863.06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1222862.01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1327997.28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1222850.12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1327999.56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1222850.15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1328003.33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1222834.18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1328003.47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1222924.80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1327767.78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1222956.85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1327773.40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1222984.35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1327778.22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1222978.27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1222947.30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1327821.57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1222912.31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1327812.80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1222824.08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1327842.83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1222814.69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1327876.92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1222838.43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1327887.32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1222877.33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1327904.37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1222904.11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1327907.76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1222928.66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1327910.87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1222938.24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1327874.28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1222948.05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1327836.83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1222899.87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1327824.23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1222855.79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1222847.66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1327849.32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1222508.20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1328373.92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1222492.10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1222533.07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1328430.20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1222574.04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1328459.03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1222588.35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1328432.91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1222548.28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1328403.42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Красная линия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1222633.04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1328465.81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1222621.03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1328487.73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1222609.02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1328509.66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1222597.00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1328531.58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1222584.99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1328553.51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1222572.20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1328576.86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1222543.76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1222554.30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1328536.69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1222566.31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1328514.77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1222578.32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1328492.84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1222590.33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1328470.92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177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969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1222604.60</w:t>
            </w:r>
          </w:p>
        </w:tc>
        <w:tc>
          <w:tcPr>
            <w:tcW w:w="1852" w:type="pct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1328444.88</w:t>
            </w:r>
          </w:p>
        </w:tc>
      </w:tr>
    </w:tbl>
    <w:p>
      <w:pPr>
        <w:pStyle w:val="2"/>
        <w:ind w:firstLin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Sans">
    <w:altName w:val="AMGDT"/>
    <w:panose1 w:val="00000000000000000000"/>
    <w:charset w:val="CC"/>
    <w:family w:val="swiss"/>
    <w:pitch w:val="default"/>
    <w:sig w:usb0="00000000" w:usb1="00000000" w:usb2="00000000" w:usb3="00000000" w:csb0="00000097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 xml:space="preserve"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13</w:t>
    </w:r>
    <w:r>
      <w:rPr>
        <w:color w:val="000000"/>
        <w:sz w:val="20"/>
        <w:szCs w:val="20"/>
      </w:rPr>
      <w:fldChar w:fldCharType="end"/>
    </w:r>
  </w:p>
  <w:p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ind w:firstLine="0"/>
      <w:jc w:val="left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95784C"/>
    <w:multiLevelType w:val="singleLevel"/>
    <w:tmpl w:val="CE95784C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54C145EF"/>
    <w:multiLevelType w:val="multilevel"/>
    <w:tmpl w:val="54C145E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40"/>
    <w:rsid w:val="00015702"/>
    <w:rsid w:val="00046207"/>
    <w:rsid w:val="000475BA"/>
    <w:rsid w:val="0005023D"/>
    <w:rsid w:val="000846B6"/>
    <w:rsid w:val="000D13FB"/>
    <w:rsid w:val="000D2207"/>
    <w:rsid w:val="0015378F"/>
    <w:rsid w:val="00154B51"/>
    <w:rsid w:val="00164CA7"/>
    <w:rsid w:val="00190AF6"/>
    <w:rsid w:val="00196742"/>
    <w:rsid w:val="001D4788"/>
    <w:rsid w:val="00227DDD"/>
    <w:rsid w:val="00314114"/>
    <w:rsid w:val="00316E41"/>
    <w:rsid w:val="00331055"/>
    <w:rsid w:val="00350E8C"/>
    <w:rsid w:val="003D3622"/>
    <w:rsid w:val="00412046"/>
    <w:rsid w:val="00465BBB"/>
    <w:rsid w:val="00473927"/>
    <w:rsid w:val="004A3241"/>
    <w:rsid w:val="005424BB"/>
    <w:rsid w:val="0056422C"/>
    <w:rsid w:val="005C5860"/>
    <w:rsid w:val="00616C40"/>
    <w:rsid w:val="00623393"/>
    <w:rsid w:val="006248CA"/>
    <w:rsid w:val="00683281"/>
    <w:rsid w:val="00691295"/>
    <w:rsid w:val="00696451"/>
    <w:rsid w:val="006F7113"/>
    <w:rsid w:val="0072254F"/>
    <w:rsid w:val="007B5F7A"/>
    <w:rsid w:val="007E3199"/>
    <w:rsid w:val="007F0B22"/>
    <w:rsid w:val="00894715"/>
    <w:rsid w:val="0091620F"/>
    <w:rsid w:val="00985DC4"/>
    <w:rsid w:val="009A48BD"/>
    <w:rsid w:val="00A80833"/>
    <w:rsid w:val="00A910DE"/>
    <w:rsid w:val="00B018E0"/>
    <w:rsid w:val="00BD5474"/>
    <w:rsid w:val="00C00D0E"/>
    <w:rsid w:val="00C9683C"/>
    <w:rsid w:val="00CF6195"/>
    <w:rsid w:val="00D0662C"/>
    <w:rsid w:val="00D17BB9"/>
    <w:rsid w:val="00DD657B"/>
    <w:rsid w:val="00E26130"/>
    <w:rsid w:val="00E53C4D"/>
    <w:rsid w:val="00EA05CC"/>
    <w:rsid w:val="00EB076E"/>
    <w:rsid w:val="00F403CF"/>
    <w:rsid w:val="00FA16EB"/>
    <w:rsid w:val="37B27BC8"/>
    <w:rsid w:val="48C36827"/>
    <w:rsid w:val="4D79285E"/>
    <w:rsid w:val="4E01253D"/>
    <w:rsid w:val="5DBA4258"/>
    <w:rsid w:val="7105020B"/>
    <w:rsid w:val="7E9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7">
    <w:name w:val="toc 1"/>
    <w:basedOn w:val="1"/>
    <w:next w:val="1"/>
    <w:unhideWhenUsed/>
    <w:qFormat/>
    <w:uiPriority w:val="39"/>
    <w:pPr>
      <w:spacing w:after="100" w:line="259" w:lineRule="auto"/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8">
    <w:name w:val="toc 2"/>
    <w:basedOn w:val="1"/>
    <w:next w:val="1"/>
    <w:unhideWhenUsed/>
    <w:qFormat/>
    <w:uiPriority w:val="39"/>
    <w:pPr>
      <w:spacing w:after="100" w:line="259" w:lineRule="auto"/>
      <w:ind w:left="220"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table" w:styleId="10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3">
    <w:name w:val="List Paragraph"/>
    <w:basedOn w:val="1"/>
    <w:link w:val="17"/>
    <w:qFormat/>
    <w:uiPriority w:val="0"/>
    <w:pPr>
      <w:ind w:left="720"/>
      <w:contextualSpacing/>
    </w:pPr>
  </w:style>
  <w:style w:type="paragraph" w:customStyle="1" w:styleId="14">
    <w:name w:val="TOC Heading"/>
    <w:basedOn w:val="2"/>
    <w:next w:val="1"/>
    <w:unhideWhenUsed/>
    <w:qFormat/>
    <w:uiPriority w:val="39"/>
    <w:pPr>
      <w:spacing w:line="259" w:lineRule="auto"/>
      <w:ind w:firstLine="0"/>
      <w:jc w:val="left"/>
      <w:outlineLvl w:val="9"/>
    </w:pPr>
    <w:rPr>
      <w:lang w:eastAsia="ru-RU"/>
    </w:rPr>
  </w:style>
  <w:style w:type="character" w:customStyle="1" w:styleId="15">
    <w:name w:val="Верхний колонтитул Знак"/>
    <w:basedOn w:val="3"/>
    <w:link w:val="6"/>
    <w:qFormat/>
    <w:uiPriority w:val="99"/>
  </w:style>
  <w:style w:type="character" w:customStyle="1" w:styleId="16">
    <w:name w:val="Нижний колонтитул Знак"/>
    <w:basedOn w:val="3"/>
    <w:link w:val="9"/>
    <w:qFormat/>
    <w:uiPriority w:val="99"/>
  </w:style>
  <w:style w:type="character" w:customStyle="1" w:styleId="17">
    <w:name w:val="Абзац списка Знак"/>
    <w:link w:val="13"/>
    <w:qFormat/>
    <w:locked/>
    <w:uiPriority w:val="0"/>
    <w:rPr>
      <w:rFonts w:ascii="Times New Roman" w:hAnsi="Times New Roman" w:eastAsia="Times New Roman" w:cs="Times New Roman"/>
      <w:sz w:val="28"/>
    </w:rPr>
  </w:style>
  <w:style w:type="paragraph" w:styleId="18">
    <w:name w:val="No Spacing"/>
    <w:link w:val="19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9">
    <w:name w:val="Без интервала Знак"/>
    <w:link w:val="18"/>
    <w:qFormat/>
    <w:uiPriority w:val="1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B994-9ECA-4548-A154-D287030A7E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1574</Words>
  <Characters>8972</Characters>
  <Lines>74</Lines>
  <Paragraphs>21</Paragraphs>
  <TotalTime>6</TotalTime>
  <ScaleCrop>false</ScaleCrop>
  <LinksUpToDate>false</LinksUpToDate>
  <CharactersWithSpaces>10525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2023-07-11T07:01:00Z</dcterms:created>
  <dc:creator>Дашулич</dc:creator>
  <cp:lastModifiedBy>Уютный бар</cp:lastModifiedBy>
  <dcterms:modified xsi:type="dcterms:W3CDTF">2023-10-03T07:38:57Z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36F6FF0120D54F18BB5A3828B58DB651_13</vt:lpwstr>
  </property>
</Properties>
</file>